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F292CA">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24FE2695">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73581F46">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甘肃酒钢集团宏兴钢铁股份有限公司</w:t>
      </w:r>
      <w:r>
        <w:rPr>
          <w:rFonts w:hint="eastAsia" w:ascii="仿宋" w:hAnsi="仿宋" w:eastAsia="仿宋" w:cs="仿宋"/>
          <w:b/>
          <w:color w:val="auto"/>
          <w:sz w:val="44"/>
          <w:szCs w:val="44"/>
          <w:highlight w:val="none"/>
          <w:lang w:eastAsia="zh-CN"/>
        </w:rPr>
        <w:t>炼铁</w:t>
      </w:r>
      <w:r>
        <w:rPr>
          <w:rFonts w:hint="eastAsia" w:ascii="仿宋" w:hAnsi="仿宋" w:eastAsia="仿宋" w:cs="仿宋"/>
          <w:b/>
          <w:color w:val="auto"/>
          <w:sz w:val="44"/>
          <w:szCs w:val="44"/>
          <w:highlight w:val="none"/>
        </w:rPr>
        <w:t>厂</w:t>
      </w:r>
    </w:p>
    <w:p w14:paraId="41922E78">
      <w:pPr>
        <w:snapToGrid w:val="0"/>
        <w:spacing w:line="360" w:lineRule="auto"/>
        <w:ind w:right="-447"/>
        <w:rPr>
          <w:rFonts w:hint="eastAsia" w:ascii="仿宋" w:hAnsi="仿宋" w:eastAsia="仿宋" w:cs="仿宋"/>
          <w:b/>
          <w:color w:val="auto"/>
          <w:sz w:val="36"/>
          <w:szCs w:val="48"/>
          <w:highlight w:val="none"/>
        </w:rPr>
      </w:pPr>
    </w:p>
    <w:p w14:paraId="0058A082">
      <w:pPr>
        <w:pStyle w:val="12"/>
        <w:keepNext w:val="0"/>
        <w:keepLines w:val="0"/>
        <w:widowControl/>
        <w:suppressLineNumbers w:val="0"/>
        <w:spacing w:before="0" w:beforeAutospacing="0" w:after="0" w:afterAutospacing="0"/>
        <w:ind w:left="0" w:right="0" w:firstLine="0"/>
        <w:jc w:val="center"/>
        <w:rPr>
          <w:rFonts w:hint="eastAsia" w:ascii="宋体" w:hAnsi="宋体" w:eastAsia="宋体" w:cs="Times New Roman"/>
          <w:b/>
          <w:color w:val="auto"/>
          <w:kern w:val="0"/>
          <w:sz w:val="32"/>
          <w:szCs w:val="32"/>
          <w:highlight w:val="none"/>
          <w:lang w:val="en-US" w:eastAsia="zh-CN" w:bidi="ar-SA"/>
        </w:rPr>
      </w:pPr>
      <w:r>
        <w:rPr>
          <w:rFonts w:hint="eastAsia" w:ascii="宋体" w:hAnsi="宋体" w:eastAsia="宋体" w:cs="Times New Roman"/>
          <w:b/>
          <w:color w:val="auto"/>
          <w:kern w:val="0"/>
          <w:sz w:val="32"/>
          <w:szCs w:val="32"/>
          <w:highlight w:val="none"/>
          <w:lang w:val="en-US" w:eastAsia="zh-CN" w:bidi="ar-SA"/>
        </w:rPr>
        <w:t>上密阀板密封圈D2202 耐高温硅胶 T≥315℃</w:t>
      </w:r>
    </w:p>
    <w:p w14:paraId="4108739A">
      <w:pPr>
        <w:snapToGrid w:val="0"/>
        <w:spacing w:line="360" w:lineRule="auto"/>
        <w:ind w:right="-447"/>
        <w:jc w:val="center"/>
        <w:rPr>
          <w:rFonts w:hint="eastAsia" w:ascii="宋体" w:hAnsi="宋体" w:cs="Times New Roman"/>
          <w:b/>
          <w:color w:val="auto"/>
          <w:sz w:val="32"/>
          <w:szCs w:val="32"/>
          <w:highlight w:val="none"/>
          <w:lang w:val="en-US" w:eastAsia="zh-CN"/>
        </w:rPr>
      </w:pPr>
      <w:r>
        <w:rPr>
          <w:rFonts w:hint="eastAsia" w:ascii="宋体" w:hAnsi="宋体" w:cs="Times New Roman"/>
          <w:b/>
          <w:color w:val="auto"/>
          <w:sz w:val="32"/>
          <w:szCs w:val="32"/>
          <w:highlight w:val="none"/>
          <w:lang w:val="en-US" w:eastAsia="zh-CN"/>
        </w:rPr>
        <w:t xml:space="preserve"> </w:t>
      </w:r>
    </w:p>
    <w:p w14:paraId="1408C9B4">
      <w:pPr>
        <w:pStyle w:val="12"/>
        <w:keepNext w:val="0"/>
        <w:keepLines w:val="0"/>
        <w:widowControl/>
        <w:suppressLineNumbers w:val="0"/>
        <w:spacing w:before="0" w:beforeAutospacing="0" w:after="0" w:afterAutospacing="0"/>
        <w:ind w:left="0" w:right="0" w:firstLine="0"/>
        <w:jc w:val="center"/>
        <w:rPr>
          <w:rFonts w:hint="default" w:ascii="宋体" w:hAnsi="宋体" w:eastAsia="宋体" w:cs="Times New Roman"/>
          <w:b/>
          <w:color w:val="auto"/>
          <w:kern w:val="0"/>
          <w:sz w:val="32"/>
          <w:szCs w:val="32"/>
          <w:highlight w:val="none"/>
          <w:lang w:val="en-US" w:eastAsia="zh-CN" w:bidi="ar-SA"/>
        </w:rPr>
      </w:pPr>
      <w:r>
        <w:rPr>
          <w:rFonts w:hint="eastAsia" w:ascii="宋体" w:hAnsi="宋体" w:eastAsia="宋体" w:cs="Times New Roman"/>
          <w:b/>
          <w:color w:val="auto"/>
          <w:kern w:val="0"/>
          <w:sz w:val="32"/>
          <w:szCs w:val="32"/>
          <w:highlight w:val="none"/>
          <w:lang w:val="en-US" w:eastAsia="zh-CN" w:bidi="ar-SA"/>
        </w:rPr>
        <w:t>(70361158)</w:t>
      </w:r>
    </w:p>
    <w:p w14:paraId="71FD2889">
      <w:pPr>
        <w:snapToGrid w:val="0"/>
        <w:spacing w:line="360" w:lineRule="auto"/>
        <w:ind w:right="-447"/>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48"/>
          <w:highlight w:val="none"/>
        </w:rPr>
        <w:t>采购技术</w:t>
      </w:r>
      <w:r>
        <w:rPr>
          <w:rFonts w:hint="eastAsia" w:ascii="仿宋" w:hAnsi="仿宋" w:eastAsia="仿宋" w:cs="仿宋"/>
          <w:b/>
          <w:color w:val="auto"/>
          <w:sz w:val="36"/>
          <w:szCs w:val="48"/>
          <w:highlight w:val="none"/>
          <w:lang w:val="en-US" w:eastAsia="zh-CN"/>
        </w:rPr>
        <w:t>规格书</w:t>
      </w:r>
    </w:p>
    <w:p w14:paraId="02EFF7A2">
      <w:pPr>
        <w:snapToGrid w:val="0"/>
        <w:spacing w:line="360" w:lineRule="auto"/>
        <w:ind w:right="-447"/>
        <w:jc w:val="center"/>
        <w:rPr>
          <w:rFonts w:hint="eastAsia" w:ascii="仿宋" w:hAnsi="仿宋" w:eastAsia="仿宋" w:cs="仿宋"/>
          <w:b/>
          <w:color w:val="auto"/>
          <w:sz w:val="36"/>
          <w:szCs w:val="48"/>
          <w:highlight w:val="none"/>
        </w:rPr>
      </w:pPr>
    </w:p>
    <w:p w14:paraId="1CA8F58D">
      <w:pPr>
        <w:snapToGrid w:val="0"/>
        <w:spacing w:line="360" w:lineRule="auto"/>
        <w:ind w:right="-447"/>
        <w:jc w:val="center"/>
        <w:rPr>
          <w:rFonts w:hint="eastAsia" w:ascii="仿宋" w:hAnsi="仿宋" w:eastAsia="仿宋" w:cs="仿宋"/>
          <w:b/>
          <w:color w:val="auto"/>
          <w:sz w:val="36"/>
          <w:szCs w:val="48"/>
          <w:highlight w:val="none"/>
        </w:rPr>
      </w:pPr>
    </w:p>
    <w:p w14:paraId="495F3A08">
      <w:pPr>
        <w:pStyle w:val="2"/>
        <w:rPr>
          <w:rFonts w:hint="eastAsia" w:ascii="仿宋" w:hAnsi="仿宋" w:eastAsia="仿宋" w:cs="仿宋"/>
          <w:color w:val="auto"/>
          <w:highlight w:val="none"/>
        </w:rPr>
      </w:pPr>
    </w:p>
    <w:p w14:paraId="1C16B9E0">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14:paraId="6D714651">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14:paraId="654DA385">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14:paraId="4627345A">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14:paraId="65E025B0">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14:paraId="4DAF14BB">
      <w:pPr>
        <w:snapToGrid w:val="0"/>
        <w:spacing w:before="100" w:beforeAutospacing="1" w:after="100" w:afterAutospacing="1" w:line="360" w:lineRule="auto"/>
        <w:ind w:right="-447"/>
        <w:rPr>
          <w:rFonts w:hint="eastAsia" w:ascii="仿宋" w:hAnsi="仿宋" w:eastAsia="仿宋" w:cs="仿宋"/>
          <w:b/>
          <w:color w:val="auto"/>
          <w:sz w:val="32"/>
          <w:szCs w:val="32"/>
          <w:highlight w:val="none"/>
        </w:rPr>
      </w:pPr>
    </w:p>
    <w:p w14:paraId="0FBE8F15">
      <w:pPr>
        <w:widowControl/>
        <w:spacing w:before="100" w:beforeAutospacing="1" w:after="100" w:afterAutospacing="1" w:line="360" w:lineRule="auto"/>
        <w:ind w:right="72" w:rightChars="30" w:firstLine="5409" w:firstLineChars="1796"/>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lang w:val="en-US" w:eastAsia="zh-CN"/>
        </w:rPr>
        <w:t xml:space="preserve">   2026</w:t>
      </w:r>
      <w:r>
        <w:rPr>
          <w:rFonts w:hint="eastAsia" w:ascii="仿宋" w:hAnsi="仿宋" w:eastAsia="仿宋" w:cs="仿宋"/>
          <w:b/>
          <w:color w:val="auto"/>
          <w:sz w:val="30"/>
          <w:szCs w:val="30"/>
          <w:highlight w:val="none"/>
        </w:rPr>
        <w:t>年</w:t>
      </w:r>
      <w:r>
        <w:rPr>
          <w:rFonts w:hint="eastAsia" w:ascii="仿宋" w:hAnsi="仿宋" w:eastAsia="仿宋" w:cs="仿宋"/>
          <w:b/>
          <w:color w:val="auto"/>
          <w:sz w:val="30"/>
          <w:szCs w:val="30"/>
          <w:highlight w:val="none"/>
          <w:lang w:val="en-US" w:eastAsia="zh-CN"/>
        </w:rPr>
        <w:t>02</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02</w:t>
      </w:r>
      <w:r>
        <w:rPr>
          <w:rFonts w:hint="eastAsia" w:ascii="仿宋" w:hAnsi="仿宋" w:eastAsia="仿宋" w:cs="仿宋"/>
          <w:b/>
          <w:color w:val="auto"/>
          <w:sz w:val="30"/>
          <w:szCs w:val="30"/>
          <w:highlight w:val="none"/>
        </w:rPr>
        <w:t>日</w:t>
      </w:r>
    </w:p>
    <w:p w14:paraId="7F7AB032">
      <w:pPr>
        <w:spacing w:line="360" w:lineRule="auto"/>
        <w:rPr>
          <w:rFonts w:hint="eastAsia" w:ascii="仿宋" w:hAnsi="仿宋" w:eastAsia="仿宋" w:cs="仿宋"/>
          <w:bCs/>
          <w:color w:val="auto"/>
          <w:highlight w:val="none"/>
        </w:rPr>
      </w:pPr>
    </w:p>
    <w:p w14:paraId="2E3C9E92">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14:paraId="35ECC69D">
      <w:pPr>
        <w:spacing w:line="360" w:lineRule="auto"/>
        <w:ind w:firstLine="3791" w:firstLineChars="1049"/>
        <w:rPr>
          <w:rFonts w:hint="eastAsia" w:ascii="仿宋" w:hAnsi="仿宋" w:eastAsia="仿宋" w:cs="仿宋"/>
          <w:b/>
          <w:color w:val="auto"/>
          <w:sz w:val="36"/>
          <w:szCs w:val="36"/>
          <w:highlight w:val="none"/>
        </w:rPr>
      </w:pPr>
    </w:p>
    <w:p w14:paraId="38E12469">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14:paraId="44F29D16">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14:paraId="3513AF22">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14:paraId="630E9755">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14:paraId="19D4E935">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14:paraId="130755D3">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14:paraId="47387B6D">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14:paraId="25CDDD77">
      <w:pPr>
        <w:snapToGrid w:val="0"/>
        <w:spacing w:line="360" w:lineRule="auto"/>
        <w:ind w:right="-447"/>
        <w:jc w:val="both"/>
        <w:rPr>
          <w:rFonts w:hint="eastAsia" w:ascii="仿宋" w:hAnsi="仿宋" w:eastAsia="仿宋" w:cs="仿宋"/>
          <w:b/>
          <w:color w:val="auto"/>
          <w:sz w:val="28"/>
          <w:szCs w:val="28"/>
          <w:highlight w:val="none"/>
        </w:rPr>
      </w:pPr>
    </w:p>
    <w:p w14:paraId="6645B55E">
      <w:pPr>
        <w:snapToGrid w:val="0"/>
        <w:spacing w:line="360" w:lineRule="auto"/>
        <w:ind w:right="-447"/>
        <w:jc w:val="both"/>
        <w:rPr>
          <w:rFonts w:hint="eastAsia" w:ascii="仿宋" w:hAnsi="仿宋" w:eastAsia="仿宋" w:cs="仿宋"/>
          <w:b/>
          <w:color w:val="auto"/>
          <w:sz w:val="28"/>
          <w:szCs w:val="28"/>
          <w:highlight w:val="none"/>
        </w:rPr>
      </w:pPr>
    </w:p>
    <w:p w14:paraId="681F9745">
      <w:pPr>
        <w:snapToGrid w:val="0"/>
        <w:spacing w:line="360" w:lineRule="auto"/>
        <w:ind w:right="-447"/>
        <w:jc w:val="both"/>
        <w:rPr>
          <w:rFonts w:hint="eastAsia" w:ascii="仿宋" w:hAnsi="仿宋" w:eastAsia="仿宋" w:cs="仿宋"/>
          <w:b/>
          <w:color w:val="auto"/>
          <w:sz w:val="28"/>
          <w:szCs w:val="28"/>
          <w:highlight w:val="none"/>
        </w:rPr>
      </w:pPr>
    </w:p>
    <w:p w14:paraId="28D45CB9">
      <w:pPr>
        <w:snapToGrid w:val="0"/>
        <w:spacing w:line="360" w:lineRule="auto"/>
        <w:ind w:right="-447"/>
        <w:jc w:val="both"/>
        <w:rPr>
          <w:rFonts w:hint="eastAsia" w:ascii="仿宋" w:hAnsi="仿宋" w:eastAsia="仿宋" w:cs="仿宋"/>
          <w:b/>
          <w:color w:val="auto"/>
          <w:sz w:val="28"/>
          <w:szCs w:val="28"/>
          <w:highlight w:val="none"/>
        </w:rPr>
      </w:pPr>
    </w:p>
    <w:p w14:paraId="05B07747">
      <w:pPr>
        <w:snapToGrid w:val="0"/>
        <w:spacing w:line="360" w:lineRule="auto"/>
        <w:ind w:right="-447"/>
        <w:jc w:val="both"/>
        <w:rPr>
          <w:rFonts w:hint="eastAsia" w:ascii="仿宋" w:hAnsi="仿宋" w:eastAsia="仿宋" w:cs="仿宋"/>
          <w:b/>
          <w:color w:val="auto"/>
          <w:sz w:val="28"/>
          <w:szCs w:val="28"/>
          <w:highlight w:val="none"/>
        </w:rPr>
      </w:pPr>
    </w:p>
    <w:p w14:paraId="23B1DD3C">
      <w:pPr>
        <w:snapToGrid w:val="0"/>
        <w:spacing w:line="360" w:lineRule="auto"/>
        <w:ind w:right="-447"/>
        <w:jc w:val="both"/>
        <w:rPr>
          <w:rFonts w:hint="eastAsia" w:ascii="仿宋" w:hAnsi="仿宋" w:eastAsia="仿宋" w:cs="仿宋"/>
          <w:b/>
          <w:color w:val="auto"/>
          <w:sz w:val="28"/>
          <w:szCs w:val="28"/>
          <w:highlight w:val="none"/>
        </w:rPr>
      </w:pPr>
    </w:p>
    <w:p w14:paraId="40FD2BD7">
      <w:pPr>
        <w:snapToGrid w:val="0"/>
        <w:spacing w:line="360" w:lineRule="auto"/>
        <w:ind w:right="-447"/>
        <w:jc w:val="both"/>
        <w:rPr>
          <w:rFonts w:hint="eastAsia" w:ascii="仿宋" w:hAnsi="仿宋" w:eastAsia="仿宋" w:cs="仿宋"/>
          <w:b/>
          <w:color w:val="auto"/>
          <w:sz w:val="28"/>
          <w:szCs w:val="28"/>
          <w:highlight w:val="none"/>
        </w:rPr>
      </w:pPr>
    </w:p>
    <w:p w14:paraId="4C041C2C">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14:paraId="304887B6">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eastAsia="zh-CN"/>
        </w:rPr>
        <w:t>上密阀板密封圈D2202 耐高温硅胶 T≥315℃</w:t>
      </w:r>
      <w:r>
        <w:rPr>
          <w:rFonts w:hint="eastAsia" w:ascii="仿宋" w:hAnsi="仿宋" w:eastAsia="仿宋" w:cs="仿宋"/>
          <w:color w:val="auto"/>
          <w:sz w:val="21"/>
          <w:szCs w:val="21"/>
          <w:highlight w:val="none"/>
        </w:rPr>
        <w:t>采购经双方协商，达成如下技术协议：</w:t>
      </w:r>
    </w:p>
    <w:p w14:paraId="16797A0E">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总则</w:t>
      </w:r>
    </w:p>
    <w:p w14:paraId="0C7A5FC7">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本技术协议作为甲方设备订货合同的附件，与订货合同同时生效，具有同等法律效力。合同执行期间双方再协商形成的补充协议和追加条款也具有同等法律效力。</w:t>
      </w:r>
    </w:p>
    <w:p w14:paraId="2D551EAC">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本技术协议所提出的是最低标准的技术要求，并未对一切技术细节做出规定，也未充分引述有关标准和规范的条文，乙方应保证提供符合有关标准和技术文件的优质产品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14:paraId="656E62FC">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14:paraId="0C315F00">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14:paraId="034114EE">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乙方提供货物的制造、材料的选择，都应按照国内外通用的现行标准和相应的技术规范执行，而这些标准和技术规范应为合同签字日为止最新公布发问的标准和技术规范</w:t>
      </w:r>
      <w:r>
        <w:rPr>
          <w:rFonts w:hint="eastAsia" w:ascii="仿宋" w:hAnsi="仿宋" w:eastAsia="仿宋" w:cs="仿宋"/>
          <w:color w:val="auto"/>
          <w:sz w:val="21"/>
          <w:szCs w:val="21"/>
          <w:highlight w:val="none"/>
          <w:lang w:eastAsia="zh-CN"/>
        </w:rPr>
        <w:t>。</w:t>
      </w:r>
    </w:p>
    <w:p w14:paraId="36B9A701">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1.5乙方须对密封圈的完整性、合理性和设计质量承担全部责任。保证设备满足系统工艺要求。</w:t>
      </w:r>
    </w:p>
    <w:p w14:paraId="75E5E396">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14:paraId="7A24EF51">
      <w:pPr>
        <w:keepNext w:val="0"/>
        <w:keepLines w:val="0"/>
        <w:pageBreakBefore w:val="0"/>
        <w:kinsoku/>
        <w:wordWrap/>
        <w:overflowPunct/>
        <w:topLinePunct w:val="0"/>
        <w:autoSpaceDE/>
        <w:autoSpaceDN/>
        <w:bidi w:val="0"/>
        <w:snapToGrid/>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b w:val="0"/>
          <w:bCs/>
          <w:color w:val="auto"/>
          <w:sz w:val="21"/>
          <w:szCs w:val="21"/>
          <w:highlight w:val="none"/>
          <w:lang w:val="en-US" w:eastAsia="zh-CN"/>
        </w:rPr>
        <w:t>1.7乙方在投标前，按照本技术协议所规定的技术参数与甲方技术人员充分技术交流，并签订标签技术协议后，方可具备投标资质参标。</w:t>
      </w:r>
    </w:p>
    <w:p w14:paraId="4B98775E">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14:paraId="051328CC">
      <w:pPr>
        <w:spacing w:line="360" w:lineRule="auto"/>
        <w:ind w:firstLine="413" w:firstLineChars="19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2.1 使用环境</w:t>
      </w:r>
    </w:p>
    <w:p w14:paraId="43DC9D98">
      <w:pPr>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2.1.1工况温度：300℃，事故温度：540℃（不超过30分钟）</w:t>
      </w:r>
    </w:p>
    <w:p w14:paraId="50B3FE32">
      <w:pPr>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2.1.2工作介质：高炉煤气、粉尘、蒸汽等气体介质</w:t>
      </w:r>
    </w:p>
    <w:p w14:paraId="54B1BCE6">
      <w:pPr>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2.1.3工作压力：0.2MPa</w:t>
      </w:r>
    </w:p>
    <w:p w14:paraId="38A8FB3D">
      <w:pPr>
        <w:spacing w:line="360" w:lineRule="auto"/>
        <w:ind w:firstLine="413" w:firstLineChars="196"/>
        <w:rPr>
          <w:rFonts w:hint="eastAsia" w:ascii="仿宋" w:hAnsi="仿宋" w:eastAsia="仿宋" w:cs="仿宋"/>
          <w:b/>
          <w:color w:val="auto"/>
          <w:sz w:val="21"/>
          <w:szCs w:val="21"/>
          <w:highlight w:val="none"/>
        </w:rPr>
      </w:pPr>
      <w:bookmarkStart w:id="0" w:name="OLE_LINK1"/>
      <w:r>
        <w:rPr>
          <w:rFonts w:hint="eastAsia" w:ascii="仿宋" w:hAnsi="仿宋" w:eastAsia="仿宋" w:cs="仿宋"/>
          <w:b/>
          <w:color w:val="auto"/>
          <w:sz w:val="21"/>
          <w:szCs w:val="21"/>
          <w:highlight w:val="none"/>
        </w:rPr>
        <w:t>2.2 制造标准</w:t>
      </w:r>
    </w:p>
    <w:bookmarkEnd w:id="0"/>
    <w:p w14:paraId="37C1A6D1">
      <w:pPr>
        <w:spacing w:line="360" w:lineRule="auto"/>
        <w:ind w:firstLine="420" w:firstLineChars="200"/>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1.密封圈</w:t>
      </w:r>
      <w:r>
        <w:rPr>
          <w:rFonts w:hint="default" w:ascii="仿宋" w:hAnsi="仿宋" w:eastAsia="仿宋" w:cs="仿宋"/>
          <w:color w:val="auto"/>
          <w:sz w:val="21"/>
          <w:szCs w:val="21"/>
          <w:highlight w:val="none"/>
          <w:lang w:val="en-US" w:eastAsia="zh-CN"/>
        </w:rPr>
        <w:t>尺寸需现场测绘，测绘完毕出具图纸，甲方确认完毕方可制造；</w:t>
      </w:r>
    </w:p>
    <w:p w14:paraId="013731FB">
      <w:pPr>
        <w:spacing w:line="360" w:lineRule="auto"/>
        <w:ind w:firstLine="420" w:firstLineChars="200"/>
        <w:rPr>
          <w:rFonts w:hint="default" w:ascii="仿宋" w:hAnsi="仿宋" w:eastAsia="仿宋" w:cs="仿宋"/>
          <w:color w:val="auto"/>
          <w:sz w:val="21"/>
          <w:szCs w:val="21"/>
          <w:highlight w:val="none"/>
          <w:lang w:val="en-US" w:eastAsia="zh-CN"/>
        </w:rPr>
      </w:pPr>
      <w:r>
        <w:rPr>
          <w:rFonts w:hint="default" w:ascii="仿宋" w:hAnsi="仿宋" w:eastAsia="仿宋" w:cs="仿宋"/>
          <w:color w:val="auto"/>
          <w:sz w:val="21"/>
          <w:szCs w:val="21"/>
          <w:highlight w:val="none"/>
          <w:lang w:val="en-US" w:eastAsia="zh-CN"/>
        </w:rPr>
        <w:t>2.所做</w:t>
      </w:r>
      <w:r>
        <w:rPr>
          <w:rFonts w:hint="eastAsia" w:ascii="仿宋" w:hAnsi="仿宋" w:eastAsia="仿宋" w:cs="仿宋"/>
          <w:color w:val="auto"/>
          <w:sz w:val="21"/>
          <w:szCs w:val="21"/>
          <w:highlight w:val="none"/>
          <w:lang w:val="en-US" w:eastAsia="zh-CN"/>
        </w:rPr>
        <w:t>密封圈</w:t>
      </w:r>
      <w:r>
        <w:rPr>
          <w:rFonts w:hint="default" w:ascii="仿宋" w:hAnsi="仿宋" w:eastAsia="仿宋" w:cs="仿宋"/>
          <w:color w:val="auto"/>
          <w:sz w:val="21"/>
          <w:szCs w:val="21"/>
          <w:highlight w:val="none"/>
          <w:lang w:val="en-US" w:eastAsia="zh-CN"/>
        </w:rPr>
        <w:t>必须耐高温540℃以上；</w:t>
      </w:r>
    </w:p>
    <w:p w14:paraId="13CA5701">
      <w:pPr>
        <w:spacing w:line="360" w:lineRule="auto"/>
        <w:ind w:firstLine="420" w:firstLineChars="200"/>
        <w:rPr>
          <w:rFonts w:hint="default" w:ascii="仿宋" w:hAnsi="仿宋" w:eastAsia="仿宋" w:cs="仿宋"/>
          <w:color w:val="auto"/>
          <w:sz w:val="21"/>
          <w:szCs w:val="21"/>
          <w:highlight w:val="none"/>
          <w:lang w:val="en-US" w:eastAsia="zh-CN"/>
        </w:rPr>
      </w:pPr>
      <w:r>
        <w:rPr>
          <w:rFonts w:hint="default" w:ascii="仿宋" w:hAnsi="仿宋" w:eastAsia="仿宋" w:cs="仿宋"/>
          <w:color w:val="auto"/>
          <w:sz w:val="21"/>
          <w:szCs w:val="21"/>
          <w:highlight w:val="none"/>
          <w:lang w:val="en-US" w:eastAsia="zh-CN"/>
        </w:rPr>
        <w:t>3.材质采用耐高温硅胶或其他耐高温耐腐蚀先进材料。</w:t>
      </w:r>
    </w:p>
    <w:p w14:paraId="0BE09BA5">
      <w:pPr>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4.密封圈整体使用寿命≥6个月</w:t>
      </w:r>
    </w:p>
    <w:p w14:paraId="77848AE6">
      <w:pPr>
        <w:spacing w:line="360" w:lineRule="auto"/>
        <w:ind w:firstLine="420" w:firstLineChars="200"/>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5.密封圈使用寿命内，不得出现击碎、裂纹、等现象。</w:t>
      </w:r>
    </w:p>
    <w:p w14:paraId="0E68557D">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tbl>
      <w:tblPr>
        <w:tblStyle w:val="13"/>
        <w:tblW w:w="4511" w:type="pct"/>
        <w:tblInd w:w="0" w:type="dxa"/>
        <w:tblLayout w:type="autofit"/>
        <w:tblCellMar>
          <w:top w:w="0" w:type="dxa"/>
          <w:left w:w="108" w:type="dxa"/>
          <w:bottom w:w="0" w:type="dxa"/>
          <w:right w:w="108" w:type="dxa"/>
        </w:tblCellMar>
      </w:tblPr>
      <w:tblGrid>
        <w:gridCol w:w="593"/>
        <w:gridCol w:w="1156"/>
        <w:gridCol w:w="2909"/>
        <w:gridCol w:w="1139"/>
        <w:gridCol w:w="1315"/>
        <w:gridCol w:w="1527"/>
      </w:tblGrid>
      <w:tr w14:paraId="3C655271">
        <w:tblPrEx>
          <w:tblCellMar>
            <w:top w:w="0" w:type="dxa"/>
            <w:left w:w="108" w:type="dxa"/>
            <w:bottom w:w="0" w:type="dxa"/>
            <w:right w:w="108" w:type="dxa"/>
          </w:tblCellMar>
        </w:tblPrEx>
        <w:trPr>
          <w:trHeight w:val="400" w:hRule="atLeast"/>
        </w:trPr>
        <w:tc>
          <w:tcPr>
            <w:tcW w:w="343" w:type="pct"/>
            <w:vMerge w:val="restart"/>
            <w:tcBorders>
              <w:top w:val="single" w:color="auto" w:sz="4" w:space="0"/>
              <w:left w:val="single" w:color="auto" w:sz="4" w:space="0"/>
              <w:bottom w:val="single" w:color="auto" w:sz="4" w:space="0"/>
              <w:right w:val="single" w:color="auto" w:sz="4" w:space="0"/>
            </w:tcBorders>
            <w:noWrap w:val="0"/>
            <w:vAlign w:val="center"/>
          </w:tcPr>
          <w:p w14:paraId="7CE6BE90">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0"/>
                <w:szCs w:val="20"/>
                <w:highlight w:val="none"/>
              </w:rPr>
              <w:t>序号</w:t>
            </w:r>
          </w:p>
        </w:tc>
        <w:tc>
          <w:tcPr>
            <w:tcW w:w="669" w:type="pct"/>
            <w:vMerge w:val="restart"/>
            <w:tcBorders>
              <w:top w:val="single" w:color="auto" w:sz="4" w:space="0"/>
              <w:left w:val="single" w:color="auto" w:sz="4" w:space="0"/>
              <w:bottom w:val="single" w:color="auto" w:sz="4" w:space="0"/>
              <w:right w:val="single" w:color="auto" w:sz="4" w:space="0"/>
            </w:tcBorders>
            <w:noWrap w:val="0"/>
            <w:vAlign w:val="center"/>
          </w:tcPr>
          <w:p w14:paraId="48890C7E">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代号</w:t>
            </w:r>
          </w:p>
        </w:tc>
        <w:tc>
          <w:tcPr>
            <w:tcW w:w="1683" w:type="pct"/>
            <w:vMerge w:val="restart"/>
            <w:tcBorders>
              <w:top w:val="single" w:color="auto" w:sz="4" w:space="0"/>
              <w:left w:val="single" w:color="auto" w:sz="4" w:space="0"/>
              <w:bottom w:val="single" w:color="auto" w:sz="4" w:space="0"/>
              <w:right w:val="single" w:color="auto" w:sz="4" w:space="0"/>
            </w:tcBorders>
            <w:noWrap w:val="0"/>
            <w:vAlign w:val="center"/>
          </w:tcPr>
          <w:p w14:paraId="4C17DA6A">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659" w:type="pct"/>
            <w:vMerge w:val="restart"/>
            <w:tcBorders>
              <w:top w:val="single" w:color="auto" w:sz="4" w:space="0"/>
              <w:left w:val="single" w:color="auto" w:sz="4" w:space="0"/>
              <w:bottom w:val="single" w:color="auto" w:sz="4" w:space="0"/>
              <w:right w:val="single" w:color="auto" w:sz="4" w:space="0"/>
            </w:tcBorders>
            <w:noWrap w:val="0"/>
            <w:vAlign w:val="center"/>
          </w:tcPr>
          <w:p w14:paraId="34B68B70">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1644" w:type="pct"/>
            <w:gridSpan w:val="2"/>
            <w:tcBorders>
              <w:top w:val="single" w:color="auto" w:sz="4" w:space="0"/>
              <w:left w:val="nil"/>
              <w:bottom w:val="single" w:color="auto" w:sz="4" w:space="0"/>
              <w:right w:val="single" w:color="auto" w:sz="4" w:space="0"/>
            </w:tcBorders>
            <w:noWrap w:val="0"/>
            <w:vAlign w:val="center"/>
          </w:tcPr>
          <w:p w14:paraId="41597A8A">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总质量（kg）</w:t>
            </w:r>
          </w:p>
        </w:tc>
      </w:tr>
      <w:tr w14:paraId="19310FDE">
        <w:tblPrEx>
          <w:tblCellMar>
            <w:top w:w="0" w:type="dxa"/>
            <w:left w:w="108" w:type="dxa"/>
            <w:bottom w:w="0" w:type="dxa"/>
            <w:right w:w="108" w:type="dxa"/>
          </w:tblCellMar>
        </w:tblPrEx>
        <w:trPr>
          <w:trHeight w:val="400" w:hRule="atLeast"/>
        </w:trPr>
        <w:tc>
          <w:tcPr>
            <w:tcW w:w="343" w:type="pct"/>
            <w:vMerge w:val="continue"/>
            <w:tcBorders>
              <w:top w:val="single" w:color="auto" w:sz="4" w:space="0"/>
              <w:left w:val="single" w:color="auto" w:sz="4" w:space="0"/>
              <w:bottom w:val="single" w:color="auto" w:sz="4" w:space="0"/>
              <w:right w:val="single" w:color="auto" w:sz="4" w:space="0"/>
            </w:tcBorders>
            <w:noWrap w:val="0"/>
            <w:vAlign w:val="center"/>
          </w:tcPr>
          <w:p w14:paraId="1C24C956">
            <w:pPr>
              <w:widowControl/>
              <w:spacing w:line="360" w:lineRule="auto"/>
              <w:jc w:val="center"/>
              <w:rPr>
                <w:rFonts w:hint="eastAsia" w:ascii="仿宋" w:hAnsi="仿宋" w:eastAsia="仿宋" w:cs="仿宋"/>
                <w:color w:val="auto"/>
                <w:sz w:val="21"/>
                <w:szCs w:val="21"/>
                <w:highlight w:val="none"/>
              </w:rPr>
            </w:pPr>
          </w:p>
        </w:tc>
        <w:tc>
          <w:tcPr>
            <w:tcW w:w="669" w:type="pct"/>
            <w:vMerge w:val="continue"/>
            <w:tcBorders>
              <w:top w:val="single" w:color="auto" w:sz="4" w:space="0"/>
              <w:left w:val="single" w:color="auto" w:sz="4" w:space="0"/>
              <w:bottom w:val="single" w:color="auto" w:sz="4" w:space="0"/>
              <w:right w:val="single" w:color="auto" w:sz="4" w:space="0"/>
            </w:tcBorders>
            <w:noWrap w:val="0"/>
            <w:vAlign w:val="center"/>
          </w:tcPr>
          <w:p w14:paraId="01020962">
            <w:pPr>
              <w:widowControl/>
              <w:spacing w:line="360" w:lineRule="auto"/>
              <w:jc w:val="center"/>
              <w:rPr>
                <w:rFonts w:hint="eastAsia" w:ascii="仿宋" w:hAnsi="仿宋" w:eastAsia="仿宋" w:cs="仿宋"/>
                <w:color w:val="auto"/>
                <w:sz w:val="21"/>
                <w:szCs w:val="21"/>
                <w:highlight w:val="none"/>
              </w:rPr>
            </w:pPr>
          </w:p>
        </w:tc>
        <w:tc>
          <w:tcPr>
            <w:tcW w:w="1683" w:type="pct"/>
            <w:vMerge w:val="continue"/>
            <w:tcBorders>
              <w:top w:val="single" w:color="auto" w:sz="4" w:space="0"/>
              <w:left w:val="single" w:color="auto" w:sz="4" w:space="0"/>
              <w:bottom w:val="single" w:color="auto" w:sz="4" w:space="0"/>
              <w:right w:val="single" w:color="auto" w:sz="4" w:space="0"/>
            </w:tcBorders>
            <w:noWrap w:val="0"/>
            <w:vAlign w:val="center"/>
          </w:tcPr>
          <w:p w14:paraId="40A453A5">
            <w:pPr>
              <w:widowControl/>
              <w:spacing w:line="360" w:lineRule="auto"/>
              <w:jc w:val="center"/>
              <w:rPr>
                <w:rFonts w:hint="eastAsia" w:ascii="仿宋" w:hAnsi="仿宋" w:eastAsia="仿宋" w:cs="仿宋"/>
                <w:color w:val="auto"/>
                <w:sz w:val="21"/>
                <w:szCs w:val="21"/>
                <w:highlight w:val="none"/>
              </w:rPr>
            </w:pPr>
          </w:p>
        </w:tc>
        <w:tc>
          <w:tcPr>
            <w:tcW w:w="659" w:type="pct"/>
            <w:vMerge w:val="continue"/>
            <w:tcBorders>
              <w:top w:val="single" w:color="auto" w:sz="4" w:space="0"/>
              <w:left w:val="single" w:color="auto" w:sz="4" w:space="0"/>
              <w:bottom w:val="single" w:color="auto" w:sz="4" w:space="0"/>
              <w:right w:val="single" w:color="auto" w:sz="4" w:space="0"/>
            </w:tcBorders>
            <w:noWrap w:val="0"/>
            <w:vAlign w:val="center"/>
          </w:tcPr>
          <w:p w14:paraId="2469005C">
            <w:pPr>
              <w:widowControl/>
              <w:spacing w:line="360" w:lineRule="auto"/>
              <w:jc w:val="center"/>
              <w:rPr>
                <w:rFonts w:hint="eastAsia" w:ascii="仿宋" w:hAnsi="仿宋" w:eastAsia="仿宋" w:cs="仿宋"/>
                <w:color w:val="auto"/>
                <w:sz w:val="21"/>
                <w:szCs w:val="21"/>
                <w:highlight w:val="none"/>
              </w:rPr>
            </w:pPr>
          </w:p>
        </w:tc>
        <w:tc>
          <w:tcPr>
            <w:tcW w:w="761" w:type="pct"/>
            <w:tcBorders>
              <w:top w:val="nil"/>
              <w:left w:val="nil"/>
              <w:bottom w:val="single" w:color="auto" w:sz="4" w:space="0"/>
              <w:right w:val="single" w:color="auto" w:sz="4" w:space="0"/>
            </w:tcBorders>
            <w:noWrap w:val="0"/>
            <w:vAlign w:val="center"/>
          </w:tcPr>
          <w:p w14:paraId="074DCB5A">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单重</w:t>
            </w:r>
          </w:p>
        </w:tc>
        <w:tc>
          <w:tcPr>
            <w:tcW w:w="882" w:type="pct"/>
            <w:tcBorders>
              <w:top w:val="nil"/>
              <w:left w:val="nil"/>
              <w:bottom w:val="single" w:color="auto" w:sz="4" w:space="0"/>
              <w:right w:val="single" w:color="auto" w:sz="4" w:space="0"/>
            </w:tcBorders>
            <w:noWrap w:val="0"/>
            <w:vAlign w:val="center"/>
          </w:tcPr>
          <w:p w14:paraId="29721EF3">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总重</w:t>
            </w:r>
          </w:p>
        </w:tc>
      </w:tr>
      <w:tr w14:paraId="5CA0164A">
        <w:tblPrEx>
          <w:tblCellMar>
            <w:top w:w="0" w:type="dxa"/>
            <w:left w:w="108" w:type="dxa"/>
            <w:bottom w:w="0" w:type="dxa"/>
            <w:right w:w="108" w:type="dxa"/>
          </w:tblCellMar>
        </w:tblPrEx>
        <w:trPr>
          <w:trHeight w:val="573" w:hRule="atLeast"/>
        </w:trPr>
        <w:tc>
          <w:tcPr>
            <w:tcW w:w="343" w:type="pct"/>
            <w:tcBorders>
              <w:top w:val="nil"/>
              <w:left w:val="single" w:color="auto" w:sz="4" w:space="0"/>
              <w:bottom w:val="single" w:color="auto" w:sz="4" w:space="0"/>
              <w:right w:val="single" w:color="auto" w:sz="4" w:space="0"/>
            </w:tcBorders>
            <w:noWrap w:val="0"/>
            <w:vAlign w:val="center"/>
          </w:tcPr>
          <w:p w14:paraId="51BD1A6B">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669" w:type="pct"/>
            <w:tcBorders>
              <w:top w:val="nil"/>
              <w:left w:val="nil"/>
              <w:bottom w:val="single" w:color="auto" w:sz="4" w:space="0"/>
              <w:right w:val="single" w:color="auto" w:sz="4" w:space="0"/>
            </w:tcBorders>
            <w:shd w:val="clear" w:color="auto" w:fill="auto"/>
            <w:noWrap w:val="0"/>
            <w:vAlign w:val="center"/>
          </w:tcPr>
          <w:p w14:paraId="4C5AF486">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bidi="ar-SA"/>
              </w:rPr>
            </w:pPr>
            <w:r>
              <w:rPr>
                <w:rFonts w:hint="eastAsia" w:ascii="宋体" w:hAnsi="宋体" w:cs="宋体"/>
                <w:i w:val="0"/>
                <w:iCs w:val="0"/>
                <w:color w:val="000000"/>
                <w:kern w:val="0"/>
                <w:sz w:val="20"/>
                <w:szCs w:val="20"/>
                <w:u w:val="none"/>
                <w:lang w:val="en-US" w:eastAsia="zh-CN" w:bidi="ar"/>
              </w:rPr>
              <w:t>70361158</w:t>
            </w:r>
          </w:p>
        </w:tc>
        <w:tc>
          <w:tcPr>
            <w:tcW w:w="1683" w:type="pct"/>
            <w:tcBorders>
              <w:top w:val="nil"/>
              <w:left w:val="nil"/>
              <w:bottom w:val="single" w:color="auto" w:sz="4" w:space="0"/>
              <w:right w:val="single" w:color="auto" w:sz="4" w:space="0"/>
            </w:tcBorders>
            <w:noWrap w:val="0"/>
            <w:vAlign w:val="center"/>
          </w:tcPr>
          <w:p w14:paraId="664A6F44">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上密阀板密封圈D2202 耐高温硅胶 T≥315℃</w:t>
            </w:r>
          </w:p>
        </w:tc>
        <w:tc>
          <w:tcPr>
            <w:tcW w:w="659" w:type="pct"/>
            <w:tcBorders>
              <w:top w:val="nil"/>
              <w:left w:val="nil"/>
              <w:bottom w:val="single" w:color="auto" w:sz="4" w:space="0"/>
              <w:right w:val="single" w:color="auto" w:sz="4" w:space="0"/>
            </w:tcBorders>
            <w:noWrap w:val="0"/>
            <w:vAlign w:val="center"/>
          </w:tcPr>
          <w:p w14:paraId="04DAF8A2">
            <w:pPr>
              <w:widowControl/>
              <w:spacing w:line="360" w:lineRule="auto"/>
              <w:ind w:firstLine="210" w:firstLineChars="10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2件</w:t>
            </w:r>
          </w:p>
        </w:tc>
        <w:tc>
          <w:tcPr>
            <w:tcW w:w="761" w:type="pct"/>
            <w:tcBorders>
              <w:top w:val="nil"/>
              <w:left w:val="nil"/>
              <w:bottom w:val="single" w:color="auto" w:sz="4" w:space="0"/>
              <w:right w:val="single" w:color="auto" w:sz="4" w:space="0"/>
            </w:tcBorders>
            <w:noWrap w:val="0"/>
            <w:vAlign w:val="center"/>
          </w:tcPr>
          <w:p w14:paraId="3EAF3D3F">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882" w:type="pct"/>
            <w:tcBorders>
              <w:top w:val="nil"/>
              <w:left w:val="nil"/>
              <w:bottom w:val="single" w:color="auto" w:sz="4" w:space="0"/>
              <w:right w:val="single" w:color="auto" w:sz="4" w:space="0"/>
            </w:tcBorders>
            <w:noWrap w:val="0"/>
            <w:vAlign w:val="center"/>
          </w:tcPr>
          <w:p w14:paraId="07371CBF">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r>
    </w:tbl>
    <w:p w14:paraId="05DDC8BE">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color w:val="auto"/>
          <w:sz w:val="21"/>
          <w:szCs w:val="21"/>
          <w:highlight w:val="none"/>
          <w:lang w:val="en-US" w:eastAsia="zh-CN"/>
        </w:rPr>
        <w:t>密封圈必须与现场安装尺寸一致，与提供图纸相符，确保提供的密封圈能够完全的备用和互换。</w:t>
      </w:r>
    </w:p>
    <w:p w14:paraId="6957C615">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14:paraId="3ADB7414">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现场现场勘察，并查看甲方在线设备资料和现场环境。</w:t>
      </w:r>
    </w:p>
    <w:p w14:paraId="5C72E7D1">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14:paraId="16ED92F4">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r>
        <w:rPr>
          <w:rFonts w:hint="eastAsia" w:ascii="仿宋" w:hAnsi="仿宋" w:eastAsia="仿宋" w:cs="仿宋"/>
          <w:color w:val="auto"/>
          <w:kern w:val="2"/>
          <w:sz w:val="21"/>
          <w:szCs w:val="21"/>
          <w:highlight w:val="none"/>
          <w:lang w:eastAsia="zh-CN"/>
        </w:rPr>
        <w:t>；</w:t>
      </w:r>
    </w:p>
    <w:p w14:paraId="06933B99">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r>
        <w:rPr>
          <w:rFonts w:hint="eastAsia" w:ascii="仿宋" w:hAnsi="仿宋" w:eastAsia="仿宋" w:cs="仿宋"/>
          <w:color w:val="auto"/>
          <w:kern w:val="2"/>
          <w:sz w:val="21"/>
          <w:szCs w:val="21"/>
          <w:highlight w:val="none"/>
          <w:lang w:eastAsia="zh-CN"/>
        </w:rPr>
        <w:t>；</w:t>
      </w:r>
    </w:p>
    <w:p w14:paraId="3B2AE5BB">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产品合格证、使用说明书、备件图纸；</w:t>
      </w:r>
    </w:p>
    <w:p w14:paraId="6BE0C59E">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sz w:val="21"/>
          <w:szCs w:val="21"/>
          <w:highlight w:val="none"/>
          <w:lang w:val="en-US" w:eastAsia="zh-CN"/>
        </w:rPr>
        <w:t>密封圈</w:t>
      </w:r>
      <w:r>
        <w:rPr>
          <w:rFonts w:hint="eastAsia" w:ascii="仿宋" w:hAnsi="仿宋" w:eastAsia="仿宋" w:cs="仿宋"/>
          <w:color w:val="auto"/>
          <w:kern w:val="2"/>
          <w:sz w:val="21"/>
          <w:szCs w:val="21"/>
          <w:highlight w:val="none"/>
          <w:lang w:val="en-US" w:eastAsia="zh-CN"/>
        </w:rPr>
        <w:t>检验报告书；</w:t>
      </w:r>
    </w:p>
    <w:p w14:paraId="6D4AE198">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 xml:space="preserve">4.2.5 </w:t>
      </w:r>
      <w:r>
        <w:rPr>
          <w:rFonts w:hint="eastAsia" w:ascii="仿宋" w:hAnsi="仿宋" w:eastAsia="仿宋" w:cs="仿宋"/>
          <w:color w:val="auto"/>
          <w:sz w:val="21"/>
          <w:szCs w:val="21"/>
          <w:highlight w:val="none"/>
          <w:lang w:val="en-US" w:eastAsia="zh-CN"/>
        </w:rPr>
        <w:t>密封圈</w:t>
      </w:r>
      <w:r>
        <w:rPr>
          <w:rFonts w:hint="eastAsia" w:ascii="仿宋" w:hAnsi="仿宋" w:eastAsia="仿宋" w:cs="仿宋"/>
          <w:color w:val="auto"/>
          <w:kern w:val="2"/>
          <w:sz w:val="21"/>
          <w:szCs w:val="21"/>
          <w:highlight w:val="none"/>
          <w:lang w:val="en-US" w:eastAsia="zh-CN"/>
        </w:rPr>
        <w:t>质量保证书。</w:t>
      </w:r>
    </w:p>
    <w:p w14:paraId="4A90FE79">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14:paraId="1E2593F5">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14:paraId="69450305">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14:paraId="41ED41CE">
      <w:pPr>
        <w:pStyle w:val="9"/>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：李银喜</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 xml:space="preserve">18093738790 </w:t>
      </w:r>
    </w:p>
    <w:p w14:paraId="1A441CE1">
      <w:pPr>
        <w:pStyle w:val="9"/>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szCs w:val="21"/>
          <w:highlight w:val="none"/>
          <w:lang w:val="en-US" w:eastAsia="zh-CN"/>
        </w:rPr>
        <w:t>liyinxi@jiugang.com</w:t>
      </w:r>
    </w:p>
    <w:p w14:paraId="5ECEA44B">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14:paraId="172C224E">
      <w:pPr>
        <w:pStyle w:val="9"/>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乙方制</w:t>
      </w:r>
      <w:r>
        <w:rPr>
          <w:rFonts w:hint="eastAsia" w:ascii="仿宋" w:hAnsi="仿宋" w:eastAsia="仿宋" w:cs="仿宋"/>
          <w:color w:val="auto"/>
          <w:szCs w:val="21"/>
          <w:highlight w:val="none"/>
          <w:lang w:eastAsia="zh-CN"/>
        </w:rPr>
        <w:t>造</w:t>
      </w:r>
      <w:r>
        <w:rPr>
          <w:rFonts w:hint="eastAsia" w:ascii="仿宋" w:hAnsi="仿宋" w:eastAsia="仿宋" w:cs="仿宋"/>
          <w:color w:val="auto"/>
          <w:szCs w:val="21"/>
          <w:highlight w:val="none"/>
        </w:rPr>
        <w:t>的</w:t>
      </w:r>
      <w:r>
        <w:rPr>
          <w:rFonts w:hint="eastAsia" w:ascii="仿宋" w:hAnsi="仿宋" w:eastAsia="仿宋" w:cs="仿宋"/>
          <w:color w:val="auto"/>
          <w:sz w:val="21"/>
          <w:szCs w:val="21"/>
          <w:highlight w:val="none"/>
          <w:lang w:val="en-US" w:eastAsia="zh-CN"/>
        </w:rPr>
        <w:t>密封圈</w:t>
      </w:r>
      <w:r>
        <w:rPr>
          <w:rFonts w:hint="eastAsia" w:ascii="仿宋" w:hAnsi="仿宋" w:eastAsia="仿宋" w:cs="仿宋"/>
          <w:color w:val="auto"/>
          <w:szCs w:val="21"/>
          <w:highlight w:val="none"/>
        </w:rPr>
        <w:t>必须满足技术参数及技术要求，能准确无误的安装到现</w:t>
      </w:r>
      <w:r>
        <w:rPr>
          <w:rFonts w:hint="eastAsia" w:ascii="仿宋" w:hAnsi="仿宋" w:eastAsia="仿宋" w:cs="仿宋"/>
          <w:color w:val="auto"/>
          <w:szCs w:val="21"/>
          <w:highlight w:val="none"/>
          <w:lang w:eastAsia="zh-CN"/>
        </w:rPr>
        <w:t>场</w:t>
      </w:r>
      <w:r>
        <w:rPr>
          <w:rFonts w:hint="eastAsia" w:ascii="仿宋" w:hAnsi="仿宋" w:eastAsia="仿宋" w:cs="仿宋"/>
          <w:color w:val="auto"/>
          <w:szCs w:val="21"/>
          <w:highlight w:val="none"/>
        </w:rPr>
        <w:t>基础和设备上。</w:t>
      </w:r>
    </w:p>
    <w:p w14:paraId="19F3C76F">
      <w:pPr>
        <w:pStyle w:val="9"/>
        <w:spacing w:line="360" w:lineRule="auto"/>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甲方对乙方提供的</w:t>
      </w:r>
      <w:r>
        <w:rPr>
          <w:rFonts w:hint="eastAsia" w:ascii="仿宋" w:hAnsi="仿宋" w:eastAsia="仿宋" w:cs="仿宋"/>
          <w:color w:val="auto"/>
          <w:sz w:val="21"/>
          <w:szCs w:val="21"/>
          <w:highlight w:val="none"/>
          <w:lang w:val="en-US" w:eastAsia="zh-CN"/>
        </w:rPr>
        <w:t>密封圈</w:t>
      </w:r>
      <w:r>
        <w:rPr>
          <w:rFonts w:hint="eastAsia" w:ascii="仿宋" w:hAnsi="仿宋" w:eastAsia="仿宋" w:cs="仿宋"/>
          <w:color w:val="auto"/>
          <w:szCs w:val="21"/>
          <w:highlight w:val="none"/>
        </w:rPr>
        <w:t>进行入厂检验</w:t>
      </w:r>
      <w:r>
        <w:rPr>
          <w:rFonts w:hint="eastAsia" w:ascii="仿宋" w:hAnsi="仿宋" w:eastAsia="仿宋" w:cs="仿宋"/>
          <w:color w:val="auto"/>
          <w:szCs w:val="21"/>
          <w:highlight w:val="none"/>
          <w:lang w:eastAsia="zh-CN"/>
        </w:rPr>
        <w:t>。</w:t>
      </w:r>
    </w:p>
    <w:p w14:paraId="52126613">
      <w:pPr>
        <w:pStyle w:val="9"/>
        <w:spacing w:line="360" w:lineRule="auto"/>
        <w:rPr>
          <w:rFonts w:hint="eastAsia" w:ascii="仿宋" w:hAnsi="仿宋" w:eastAsia="仿宋" w:cs="仿宋"/>
          <w:b w:val="0"/>
          <w:bCs w:val="0"/>
          <w:color w:val="auto"/>
          <w:kern w:val="2"/>
          <w:sz w:val="21"/>
          <w:szCs w:val="21"/>
          <w:highlight w:val="none"/>
        </w:rPr>
      </w:pPr>
      <w:r>
        <w:rPr>
          <w:rFonts w:hint="eastAsia" w:ascii="仿宋" w:hAnsi="仿宋" w:eastAsia="仿宋" w:cs="仿宋"/>
          <w:color w:val="auto"/>
          <w:szCs w:val="21"/>
          <w:highlight w:val="none"/>
        </w:rPr>
        <w:t>3</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lang w:eastAsia="zh-CN"/>
        </w:rPr>
        <w:t>使</w:t>
      </w:r>
      <w:r>
        <w:rPr>
          <w:rFonts w:hint="eastAsia" w:ascii="仿宋" w:hAnsi="仿宋" w:eastAsia="仿宋" w:cs="仿宋"/>
          <w:color w:val="auto"/>
          <w:szCs w:val="21"/>
          <w:highlight w:val="none"/>
        </w:rPr>
        <w:t>用中甲方发现乙方提供的</w:t>
      </w:r>
      <w:r>
        <w:rPr>
          <w:rFonts w:hint="eastAsia" w:ascii="仿宋" w:hAnsi="仿宋" w:eastAsia="仿宋" w:cs="仿宋"/>
          <w:color w:val="auto"/>
          <w:sz w:val="21"/>
          <w:szCs w:val="21"/>
          <w:highlight w:val="none"/>
          <w:lang w:val="en-US" w:eastAsia="zh-CN"/>
        </w:rPr>
        <w:t>密封圈</w:t>
      </w:r>
      <w:r>
        <w:rPr>
          <w:rFonts w:hint="eastAsia" w:ascii="仿宋" w:hAnsi="仿宋" w:eastAsia="仿宋" w:cs="仿宋"/>
          <w:color w:val="auto"/>
          <w:szCs w:val="21"/>
          <w:highlight w:val="none"/>
        </w:rPr>
        <w:t>存在不能正常使用的原因或缺陷时，甲方将</w:t>
      </w:r>
      <w:r>
        <w:rPr>
          <w:rFonts w:hint="eastAsia" w:ascii="仿宋" w:hAnsi="仿宋" w:eastAsia="仿宋" w:cs="仿宋"/>
          <w:color w:val="auto"/>
          <w:szCs w:val="21"/>
          <w:highlight w:val="none"/>
          <w:lang w:eastAsia="zh-CN"/>
        </w:rPr>
        <w:t>停止使</w:t>
      </w:r>
      <w:r>
        <w:rPr>
          <w:rFonts w:hint="eastAsia" w:ascii="仿宋" w:hAnsi="仿宋" w:eastAsia="仿宋" w:cs="仿宋"/>
          <w:color w:val="auto"/>
          <w:szCs w:val="21"/>
          <w:highlight w:val="none"/>
        </w:rPr>
        <w:t>用，并通知乙方，乙方须在</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个工作日内到甲方现场处理。由双方进行现场确认，经共同确认后认定由于乙方制造</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包装运输原因而产生的质量问题，甲方不支付乙方任何费用。经甲方同意且不影响设备性能、可快速修复的前提下可进行现场快速修复并重新</w:t>
      </w:r>
      <w:r>
        <w:rPr>
          <w:rFonts w:hint="eastAsia" w:ascii="仿宋" w:hAnsi="仿宋" w:eastAsia="仿宋" w:cs="仿宋"/>
          <w:color w:val="auto"/>
          <w:szCs w:val="21"/>
          <w:highlight w:val="none"/>
          <w:lang w:eastAsia="zh-CN"/>
        </w:rPr>
        <w:t>投入使用</w:t>
      </w:r>
      <w:r>
        <w:rPr>
          <w:rFonts w:hint="eastAsia" w:ascii="仿宋" w:hAnsi="仿宋" w:eastAsia="仿宋" w:cs="仿宋"/>
          <w:color w:val="auto"/>
          <w:szCs w:val="21"/>
          <w:highlight w:val="none"/>
        </w:rPr>
        <w:t>。</w:t>
      </w:r>
    </w:p>
    <w:p w14:paraId="7FD3B1AD">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14:paraId="1731FC1F">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bookmarkStart w:id="1" w:name="_GoBack"/>
      <w:bookmarkEnd w:id="1"/>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14:paraId="189BF874">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14:paraId="2DA7AD71">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7.1本协议内容经由甲乙双方于    年   月   日   时-  时通过   方式商定。 </w:t>
      </w:r>
    </w:p>
    <w:p w14:paraId="2E875F81">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7.2甲乙双方应当就签订本协议的相关事宜保密，不得将签订主体、时间、内容等信息透露给其他第三人。</w:t>
      </w:r>
    </w:p>
    <w:p w14:paraId="39190386">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7.3若乙方公司不能中标，则本技术协议自动失效，双方不承担任何责任。</w:t>
      </w:r>
    </w:p>
    <w:p w14:paraId="797C87DB">
      <w:pPr>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本协议一式四份，甲方三份，乙方一份。</w:t>
      </w:r>
    </w:p>
    <w:p w14:paraId="3D7E075F">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14:paraId="6585D90F">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14:paraId="0220AC63">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sectPr>
      <w:footerReference r:id="rId5" w:type="default"/>
      <w:pgSz w:w="11907" w:h="16840"/>
      <w:pgMar w:top="1440" w:right="1470" w:bottom="1440" w:left="1077" w:header="851" w:footer="99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魏碑简体">
    <w:panose1 w:val="02000000000000000000"/>
    <w:charset w:val="86"/>
    <w:family w:val="auto"/>
    <w:pitch w:val="default"/>
    <w:sig w:usb0="A00002BF" w:usb1="184F6CFA" w:usb2="00000012"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4FEA5B">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zZjViMzY2ZGExZWRkYmMwZmE2ODc3MDkzODEyZjE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A2BED"/>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3DF3D4F"/>
    <w:rsid w:val="045A41EA"/>
    <w:rsid w:val="04931259"/>
    <w:rsid w:val="08416F2D"/>
    <w:rsid w:val="09075302"/>
    <w:rsid w:val="0A502357"/>
    <w:rsid w:val="0AF75787"/>
    <w:rsid w:val="0C693DF6"/>
    <w:rsid w:val="0D99746B"/>
    <w:rsid w:val="0F6949B9"/>
    <w:rsid w:val="0FA7334B"/>
    <w:rsid w:val="11AC1D80"/>
    <w:rsid w:val="14417777"/>
    <w:rsid w:val="14A213F8"/>
    <w:rsid w:val="15443E1D"/>
    <w:rsid w:val="15B8653A"/>
    <w:rsid w:val="15C0276A"/>
    <w:rsid w:val="16AA0DBB"/>
    <w:rsid w:val="17385DC7"/>
    <w:rsid w:val="17B55FF2"/>
    <w:rsid w:val="18A90670"/>
    <w:rsid w:val="190D30A5"/>
    <w:rsid w:val="1A9210DE"/>
    <w:rsid w:val="1AE02230"/>
    <w:rsid w:val="1B3D0FC9"/>
    <w:rsid w:val="1C3A718F"/>
    <w:rsid w:val="1C7B427A"/>
    <w:rsid w:val="1D0E6271"/>
    <w:rsid w:val="205F020B"/>
    <w:rsid w:val="21B41C90"/>
    <w:rsid w:val="262C11AD"/>
    <w:rsid w:val="264D6D44"/>
    <w:rsid w:val="274A49E9"/>
    <w:rsid w:val="29796396"/>
    <w:rsid w:val="2D34414E"/>
    <w:rsid w:val="2E6F308E"/>
    <w:rsid w:val="2F5A6DBC"/>
    <w:rsid w:val="30504CC1"/>
    <w:rsid w:val="30D2231F"/>
    <w:rsid w:val="31333F60"/>
    <w:rsid w:val="316F691B"/>
    <w:rsid w:val="34F76C36"/>
    <w:rsid w:val="38822413"/>
    <w:rsid w:val="39481A9A"/>
    <w:rsid w:val="397A0981"/>
    <w:rsid w:val="3E3770BC"/>
    <w:rsid w:val="3EAF1EBE"/>
    <w:rsid w:val="400A0C2B"/>
    <w:rsid w:val="42650422"/>
    <w:rsid w:val="42E82912"/>
    <w:rsid w:val="43AA712C"/>
    <w:rsid w:val="48AE77F9"/>
    <w:rsid w:val="49916AB0"/>
    <w:rsid w:val="4A1D17C2"/>
    <w:rsid w:val="4A4368D1"/>
    <w:rsid w:val="4AB0770B"/>
    <w:rsid w:val="4AB1470B"/>
    <w:rsid w:val="4AB73001"/>
    <w:rsid w:val="4AD35409"/>
    <w:rsid w:val="4C221B23"/>
    <w:rsid w:val="4E02772B"/>
    <w:rsid w:val="4F7E26BC"/>
    <w:rsid w:val="508431D1"/>
    <w:rsid w:val="512C2992"/>
    <w:rsid w:val="52543B4B"/>
    <w:rsid w:val="53193986"/>
    <w:rsid w:val="53B546F8"/>
    <w:rsid w:val="56F7330C"/>
    <w:rsid w:val="577F2AA1"/>
    <w:rsid w:val="57F435E4"/>
    <w:rsid w:val="58374651"/>
    <w:rsid w:val="598E6474"/>
    <w:rsid w:val="5A5B7F3B"/>
    <w:rsid w:val="5EB033F0"/>
    <w:rsid w:val="608B2DCE"/>
    <w:rsid w:val="60DD589E"/>
    <w:rsid w:val="61D858B1"/>
    <w:rsid w:val="625E7ACB"/>
    <w:rsid w:val="646E11ED"/>
    <w:rsid w:val="672D4512"/>
    <w:rsid w:val="67A63303"/>
    <w:rsid w:val="67C4333C"/>
    <w:rsid w:val="6AB0617B"/>
    <w:rsid w:val="6E6F200C"/>
    <w:rsid w:val="6F5D13C7"/>
    <w:rsid w:val="72D75DC2"/>
    <w:rsid w:val="74753B7F"/>
    <w:rsid w:val="74FB6702"/>
    <w:rsid w:val="767C0107"/>
    <w:rsid w:val="78F876E7"/>
    <w:rsid w:val="7A073341"/>
    <w:rsid w:val="7B7A6D7B"/>
    <w:rsid w:val="7F9D2CB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12">
    <w:name w:val="Normal (Web)"/>
    <w:basedOn w:val="1"/>
    <w:uiPriority w:val="0"/>
    <w:pPr>
      <w:spacing w:before="0" w:beforeAutospacing="1" w:after="0" w:afterAutospacing="1"/>
      <w:ind w:left="0" w:right="0"/>
      <w:jc w:val="left"/>
    </w:pPr>
    <w:rPr>
      <w:kern w:val="0"/>
      <w:sz w:val="24"/>
      <w:lang w:val="en-US" w:eastAsia="zh-CN" w:bidi="ar"/>
    </w:rPr>
  </w:style>
  <w:style w:type="table" w:styleId="14">
    <w:name w:val="Table Grid"/>
    <w:basedOn w:val="13"/>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style>
  <w:style w:type="character" w:styleId="17">
    <w:name w:val="Hyperlink"/>
    <w:qFormat/>
    <w:uiPriority w:val="0"/>
    <w:rPr>
      <w:color w:val="0000FF"/>
      <w:u w:val="single"/>
    </w:rPr>
  </w:style>
  <w:style w:type="character" w:customStyle="1" w:styleId="18">
    <w:name w:val="font01"/>
    <w:basedOn w:val="15"/>
    <w:qFormat/>
    <w:uiPriority w:val="0"/>
    <w:rPr>
      <w:rFonts w:hint="default" w:ascii="Times New Roman" w:hAnsi="Times New Roman" w:cs="Times New Roman"/>
      <w:color w:val="393939"/>
      <w:sz w:val="22"/>
      <w:szCs w:val="22"/>
      <w:u w:val="none"/>
    </w:rPr>
  </w:style>
  <w:style w:type="paragraph" w:customStyle="1" w:styleId="19">
    <w:name w:val=" Char Char Char1 Char Char Char3 Char Char Char Char"/>
    <w:basedOn w:val="1"/>
    <w:qFormat/>
    <w:uiPriority w:val="0"/>
    <w:rPr>
      <w:rFonts w:ascii="Tahoma" w:hAnsi="Tahoma"/>
    </w:rPr>
  </w:style>
  <w:style w:type="paragraph" w:customStyle="1" w:styleId="20">
    <w:name w:val=" Char Char Char1 Char Char Char Char Char Char Char Char Char Char"/>
    <w:basedOn w:val="1"/>
    <w:qFormat/>
    <w:uiPriority w:val="0"/>
    <w:rPr>
      <w:rFonts w:ascii="Tahoma" w:hAnsi="Tahoma"/>
    </w:rPr>
  </w:style>
  <w:style w:type="paragraph" w:customStyle="1" w:styleId="21">
    <w:name w:val="_Style 8"/>
    <w:basedOn w:val="1"/>
    <w:qFormat/>
    <w:uiPriority w:val="0"/>
    <w:rPr>
      <w:rFonts w:ascii="Tahoma" w:hAnsi="Tahoma"/>
    </w:rPr>
  </w:style>
  <w:style w:type="paragraph" w:customStyle="1" w:styleId="22">
    <w:name w:val=" Char"/>
    <w:basedOn w:val="1"/>
    <w:qFormat/>
    <w:uiPriority w:val="0"/>
    <w:rPr>
      <w:rFonts w:ascii="Tahoma" w:hAnsi="Tahoma"/>
    </w:rPr>
  </w:style>
  <w:style w:type="paragraph" w:styleId="2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wisdri</Company>
  <Pages>4</Pages>
  <Words>1557</Words>
  <Characters>1722</Characters>
  <Lines>16</Lines>
  <Paragraphs>4</Paragraphs>
  <TotalTime>11</TotalTime>
  <ScaleCrop>false</ScaleCrop>
  <LinksUpToDate>false</LinksUpToDate>
  <CharactersWithSpaces>1838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邱啸峪</cp:lastModifiedBy>
  <cp:lastPrinted>2010-06-13T03:59:00Z</cp:lastPrinted>
  <dcterms:modified xsi:type="dcterms:W3CDTF">2026-02-27T09:02:22Z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9976791C8E3A4400817DA3C6FCB8796C_13</vt:lpwstr>
  </property>
  <property fmtid="{D5CDD505-2E9C-101B-9397-08002B2CF9AE}" pid="4" name="KSOTemplateDocerSaveRecord">
    <vt:lpwstr>eyJoZGlkIjoiNDU0ZDJjYzZjZGVjOGYzNjBmNTFjZWQ2NWE4ZTA5MDEiLCJ1c2VySWQiOiIxNDg5MzAwMzY3In0=</vt:lpwstr>
  </property>
</Properties>
</file>